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0" w:line="240" w:lineRule="auto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0" w:line="240" w:lineRule="auto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  <w:drawing>
          <wp:inline distB="0" distT="0" distL="0" distR="0">
            <wp:extent cx="1549835" cy="100068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835" cy="1000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8"/>
          <w:szCs w:val="48"/>
          <w:rtl w:val="0"/>
        </w:rPr>
        <w:t xml:space="preserve">BİLGİ GÜVENLİĞİ POLİTİKAMIZ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0" w:line="24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ind w:left="20" w:right="28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Firmamız çatısı altında Bilgi Güvenliği Yönetim Sisteminin hedefi; iş sürekliliğini sağlamak, güvenlikle ilgili olarak meydana gelen güvenlik ihlallerinin etkilerinin önlenmesi ve en aza indirilmesiyle, iş kayıplarını mümkün olan en düşük seviyeye çekmektir.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ind w:left="20" w:right="28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ind w:left="20" w:right="28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Üst yönetim tarafından onaylanmış olan Bilgi Güvenliği Politikasının amacı;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360" w:lineRule="auto"/>
        <w:ind w:left="2160" w:right="28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İçeriden veya dışarıdan, bilerek ya da bilmeyerek meydana gelebilecek her türlü tehdide karşı kuruluşun bilgi varlıklarını korumak,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360" w:lineRule="auto"/>
        <w:ind w:left="2160" w:right="28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Bilginin gizliliğini, bütünlüğünü bozmaya çalışacak yetkisiz kişilerin erişimine karşı korumak,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line="360" w:lineRule="auto"/>
        <w:ind w:left="2160" w:right="28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Bilgiye erişebilirliği iş süreçleriyle gerektiği şekilde sağlamak,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360" w:lineRule="auto"/>
        <w:ind w:left="2160" w:right="28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Yasal mevzuat gereksinimlerini karşılamak,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360" w:lineRule="auto"/>
        <w:ind w:left="2160" w:right="28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İş süreklilik planları hazırlamak, sürdürmek ve test etmek,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line="360" w:lineRule="auto"/>
        <w:ind w:left="2160" w:right="28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Bilgi güvenliği eğitimlerini tüm personele verdirerek bilinçlendirmeyi sağlamak,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line="360" w:lineRule="auto"/>
        <w:ind w:left="2160" w:right="28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Bilgi güvenliğindeki gerçekte var olan veya şüphe uyandıran tüm açıkların, Bilgi Güvenliği Yöneticisine rapor etmek ve Bilgi Güvenliği Yöneticisi tarafından soruşturulmasını sağlamak,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line="360" w:lineRule="auto"/>
        <w:ind w:left="2160" w:right="28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Bilgiye erişebilirlik ve bilgi sistemleri için iş gereksinimlerini karşılamaktır.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ind w:left="1440" w:right="28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ind w:left="1440" w:right="28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360" w:lineRule="auto"/>
        <w:ind w:left="360" w:right="28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Virüs kontrolü, parolalar ve iş sürekliliği işlemleri Bilgi Güvenliği Politikasını destekler.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360" w:lineRule="auto"/>
        <w:ind w:left="360" w:right="28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Bilgi Güvenliği Yöneticisi politikanın sürdürülmesinden ve politikanın gerçekleştirilmesi konusunda tavsiyelerde bulunmaktan ve yol göstermekten doğrudan sorumludur.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360" w:lineRule="auto"/>
        <w:ind w:left="360" w:right="28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Tüm bölüm yöneticileri, kendi iş sahalarına giren bölümlerde politikanın gerçekleştirilmesinden ve personeline bağlılıktan doğrudan sorumludurlar.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360" w:lineRule="auto"/>
        <w:ind w:left="360" w:right="28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Politikaya sıkı sıkıya sadık kalmak her personelin sorumluluğudur.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8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right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ŞİRKET MÜDÜRÜ</w:t>
        <w:tab/>
        <w:tab/>
        <w:br w:type="textWrapping"/>
        <w:t xml:space="preserve">Ozan Pala</w:t>
        <w:br w:type="textWrapping"/>
        <w:t xml:space="preserve">14.02.2022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134" w:left="1080" w:right="108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PL.01/Revizyon No:00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8"/>
        <w:szCs w:val="28"/>
        <w:lang w:val="tr-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/>
    <w:rPr>
      <w:b w:val="1"/>
      <w:color w:val="000000"/>
      <w:sz w:val="72"/>
      <w:szCs w:val="72"/>
    </w:rPr>
  </w:style>
  <w:style w:type="paragraph" w:styleId="Normal" w:default="1">
    <w:name w:val="Normal"/>
  </w:style>
  <w:style w:type="paragraph" w:styleId="Balk1">
    <w:name w:val="heading 1"/>
    <w:basedOn w:val="Normal"/>
    <w:next w:val="Normal"/>
    <w:pPr>
      <w:keepNext w:val="1"/>
      <w:keepLines w:val="1"/>
      <w:spacing w:before="200"/>
      <w:outlineLvl w:val="0"/>
    </w:pPr>
    <w:rPr>
      <w:rFonts w:ascii="Trebuchet MS" w:cs="Trebuchet MS" w:eastAsia="Trebuchet MS" w:hAnsi="Trebuchet MS"/>
      <w:b w:val="1"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 w:val="1"/>
      <w:keepLines w:val="1"/>
      <w:spacing w:before="200"/>
      <w:outlineLvl w:val="1"/>
    </w:pPr>
    <w:rPr>
      <w:rFonts w:ascii="Trebuchet MS" w:cs="Trebuchet MS" w:eastAsia="Trebuchet MS" w:hAnsi="Trebuchet MS"/>
      <w:b w:val="1"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before="160"/>
      <w:outlineLvl w:val="2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KonuBal">
    <w:name w:val="Title"/>
    <w:basedOn w:val="Normal"/>
    <w:next w:val="Normal"/>
    <w:rPr>
      <w:b w:val="1"/>
      <w:color w:val="000000"/>
      <w:sz w:val="72"/>
      <w:szCs w:val="72"/>
    </w:rPr>
  </w:style>
  <w:style w:type="paragraph" w:styleId="Altyaz">
    <w:name w:val="Subtitle"/>
    <w:basedOn w:val="Normal"/>
    <w:next w:val="Normal"/>
    <w:pPr>
      <w:keepNext w:val="1"/>
      <w:keepLines w:val="1"/>
      <w:spacing w:after="200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 w:val="1"/>
    <w:rsid w:val="00951C00"/>
    <w:pPr>
      <w:tabs>
        <w:tab w:val="center" w:pos="4703"/>
        <w:tab w:val="right" w:pos="9406"/>
      </w:tabs>
      <w:spacing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 w:val="1"/>
    <w:rsid w:val="00951C00"/>
    <w:pPr>
      <w:tabs>
        <w:tab w:val="center" w:pos="4703"/>
        <w:tab w:val="right" w:pos="9406"/>
      </w:tabs>
      <w:spacing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93288F"/>
    <w:pPr>
      <w:spacing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93288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LsTHXy3oXUXIwg3ObWhJaM0xLg==">AMUW2mXmjQ4Ii6dZnKhKyvPK9K41idyh/lxEUgh+m5b6eoVfVCyvC+/hLsigDFtJ84eNaXG43B0ZsCyFGbUMT1hGVX64Im4uaJdQv0S7W02lliFJ+d6WB+O7LB58qangL4YuSGuKOOHm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2018-10-16T11:34:00Z</dcterms:created>
</cp:coreProperties>
</file>